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2D21B8CD"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5168" behindDoc="0" locked="0" layoutInCell="1" allowOverlap="1" wp14:anchorId="39672BEC" wp14:editId="5B03F3C3">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3214C35B" w14:textId="5CDE3AC2" w:rsidR="00B21FB5" w:rsidRDefault="002B4B82" w:rsidP="002B4B82">
                            <w:pPr>
                              <w:jc w:val="center"/>
                              <w:rPr>
                                <w:rFonts w:ascii="Open Sans" w:hAnsi="Open Sans" w:cs="Open Sans"/>
                                <w:b/>
                                <w:bCs/>
                                <w:sz w:val="44"/>
                                <w:szCs w:val="44"/>
                              </w:rPr>
                            </w:pPr>
                            <w:r w:rsidRPr="002B4B82">
                              <w:rPr>
                                <w:rFonts w:ascii="Open Sans" w:hAnsi="Open Sans" w:cs="Open Sans"/>
                                <w:b/>
                                <w:bCs/>
                                <w:sz w:val="44"/>
                                <w:szCs w:val="44"/>
                              </w:rPr>
                              <w:t xml:space="preserve">PTFE insulated Twin Twisted IEC Exposed Junction Thermocouple with Miniature Plug - Type </w:t>
                            </w:r>
                            <w:r>
                              <w:rPr>
                                <w:rFonts w:ascii="Open Sans" w:hAnsi="Open Sans" w:cs="Open Sans"/>
                                <w:b/>
                                <w:bCs/>
                                <w:sz w:val="44"/>
                                <w:szCs w:val="44"/>
                              </w:rPr>
                              <w:t>T</w:t>
                            </w:r>
                            <w:r w:rsidR="005C7601" w:rsidRPr="005C7601">
                              <w:rPr>
                                <w:rFonts w:ascii="Open Sans" w:hAnsi="Open Sans" w:cs="Open Sans"/>
                                <w:b/>
                                <w:bCs/>
                                <w:sz w:val="44"/>
                                <w:szCs w:val="44"/>
                              </w:rPr>
                              <w:t xml:space="preserve"> </w:t>
                            </w:r>
                            <w:r w:rsidR="005C7601">
                              <w:rPr>
                                <w:rFonts w:ascii="Open Sans" w:hAnsi="Open Sans" w:cs="Open Sans"/>
                                <w:b/>
                                <w:bCs/>
                                <w:sz w:val="44"/>
                                <w:szCs w:val="44"/>
                              </w:rPr>
                              <w:t>–</w:t>
                            </w:r>
                            <w:r w:rsidR="005C7601" w:rsidRPr="005C7601">
                              <w:rPr>
                                <w:rFonts w:ascii="Open Sans" w:hAnsi="Open Sans" w:cs="Open Sans"/>
                                <w:b/>
                                <w:bCs/>
                                <w:sz w:val="44"/>
                                <w:szCs w:val="44"/>
                              </w:rPr>
                              <w:t xml:space="preserve"> </w:t>
                            </w:r>
                            <w:r w:rsidR="000C761F">
                              <w:rPr>
                                <w:rFonts w:ascii="Open Sans" w:hAnsi="Open Sans" w:cs="Open Sans"/>
                                <w:b/>
                                <w:bCs/>
                                <w:sz w:val="44"/>
                                <w:szCs w:val="44"/>
                              </w:rPr>
                              <w:t>2</w:t>
                            </w:r>
                            <w:r>
                              <w:rPr>
                                <w:rFonts w:ascii="Open Sans" w:hAnsi="Open Sans" w:cs="Open Sans"/>
                                <w:b/>
                                <w:bCs/>
                                <w:sz w:val="44"/>
                                <w:szCs w:val="44"/>
                              </w:rPr>
                              <w:t>m</w:t>
                            </w:r>
                          </w:p>
                          <w:p w14:paraId="5BD33356" w14:textId="14993136"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w:t>
                            </w:r>
                            <w:r w:rsidR="005C7601">
                              <w:rPr>
                                <w:rFonts w:ascii="Open Sans" w:hAnsi="Open Sans" w:cs="Open Sans"/>
                                <w:color w:val="C00000"/>
                                <w:sz w:val="44"/>
                                <w:szCs w:val="44"/>
                              </w:rPr>
                              <w:t>5</w:t>
                            </w:r>
                            <w:r w:rsidR="002B4B82">
                              <w:rPr>
                                <w:rFonts w:ascii="Open Sans" w:hAnsi="Open Sans" w:cs="Open Sans"/>
                                <w:color w:val="C00000"/>
                                <w:sz w:val="44"/>
                                <w:szCs w:val="44"/>
                              </w:rPr>
                              <w:t>2</w:t>
                            </w:r>
                            <w:r w:rsidR="000C761F">
                              <w:rPr>
                                <w:rFonts w:ascii="Open Sans" w:hAnsi="Open Sans" w:cs="Open Sans"/>
                                <w:color w:val="C00000"/>
                                <w:sz w:val="44"/>
                                <w:szCs w:val="44"/>
                              </w:rPr>
                              <w:t>6</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3214C35B" w14:textId="5CDE3AC2" w:rsidR="00B21FB5" w:rsidRDefault="002B4B82" w:rsidP="002B4B82">
                      <w:pPr>
                        <w:jc w:val="center"/>
                        <w:rPr>
                          <w:rFonts w:ascii="Open Sans" w:hAnsi="Open Sans" w:cs="Open Sans"/>
                          <w:b/>
                          <w:bCs/>
                          <w:sz w:val="44"/>
                          <w:szCs w:val="44"/>
                        </w:rPr>
                      </w:pPr>
                      <w:r w:rsidRPr="002B4B82">
                        <w:rPr>
                          <w:rFonts w:ascii="Open Sans" w:hAnsi="Open Sans" w:cs="Open Sans"/>
                          <w:b/>
                          <w:bCs/>
                          <w:sz w:val="44"/>
                          <w:szCs w:val="44"/>
                        </w:rPr>
                        <w:t xml:space="preserve">PTFE insulated Twin Twisted IEC Exposed Junction Thermocouple with Miniature Plug - Type </w:t>
                      </w:r>
                      <w:r>
                        <w:rPr>
                          <w:rFonts w:ascii="Open Sans" w:hAnsi="Open Sans" w:cs="Open Sans"/>
                          <w:b/>
                          <w:bCs/>
                          <w:sz w:val="44"/>
                          <w:szCs w:val="44"/>
                        </w:rPr>
                        <w:t>T</w:t>
                      </w:r>
                      <w:r w:rsidR="005C7601" w:rsidRPr="005C7601">
                        <w:rPr>
                          <w:rFonts w:ascii="Open Sans" w:hAnsi="Open Sans" w:cs="Open Sans"/>
                          <w:b/>
                          <w:bCs/>
                          <w:sz w:val="44"/>
                          <w:szCs w:val="44"/>
                        </w:rPr>
                        <w:t xml:space="preserve"> </w:t>
                      </w:r>
                      <w:r w:rsidR="005C7601">
                        <w:rPr>
                          <w:rFonts w:ascii="Open Sans" w:hAnsi="Open Sans" w:cs="Open Sans"/>
                          <w:b/>
                          <w:bCs/>
                          <w:sz w:val="44"/>
                          <w:szCs w:val="44"/>
                        </w:rPr>
                        <w:t>–</w:t>
                      </w:r>
                      <w:r w:rsidR="005C7601" w:rsidRPr="005C7601">
                        <w:rPr>
                          <w:rFonts w:ascii="Open Sans" w:hAnsi="Open Sans" w:cs="Open Sans"/>
                          <w:b/>
                          <w:bCs/>
                          <w:sz w:val="44"/>
                          <w:szCs w:val="44"/>
                        </w:rPr>
                        <w:t xml:space="preserve"> </w:t>
                      </w:r>
                      <w:r w:rsidR="000C761F">
                        <w:rPr>
                          <w:rFonts w:ascii="Open Sans" w:hAnsi="Open Sans" w:cs="Open Sans"/>
                          <w:b/>
                          <w:bCs/>
                          <w:sz w:val="44"/>
                          <w:szCs w:val="44"/>
                        </w:rPr>
                        <w:t>2</w:t>
                      </w:r>
                      <w:r>
                        <w:rPr>
                          <w:rFonts w:ascii="Open Sans" w:hAnsi="Open Sans" w:cs="Open Sans"/>
                          <w:b/>
                          <w:bCs/>
                          <w:sz w:val="44"/>
                          <w:szCs w:val="44"/>
                        </w:rPr>
                        <w:t>m</w:t>
                      </w:r>
                    </w:p>
                    <w:p w14:paraId="5BD33356" w14:textId="14993136"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w:t>
                      </w:r>
                      <w:r w:rsidR="005C7601">
                        <w:rPr>
                          <w:rFonts w:ascii="Open Sans" w:hAnsi="Open Sans" w:cs="Open Sans"/>
                          <w:color w:val="C00000"/>
                          <w:sz w:val="44"/>
                          <w:szCs w:val="44"/>
                        </w:rPr>
                        <w:t>5</w:t>
                      </w:r>
                      <w:r w:rsidR="002B4B82">
                        <w:rPr>
                          <w:rFonts w:ascii="Open Sans" w:hAnsi="Open Sans" w:cs="Open Sans"/>
                          <w:color w:val="C00000"/>
                          <w:sz w:val="44"/>
                          <w:szCs w:val="44"/>
                        </w:rPr>
                        <w:t>2</w:t>
                      </w:r>
                      <w:r w:rsidR="000C761F">
                        <w:rPr>
                          <w:rFonts w:ascii="Open Sans" w:hAnsi="Open Sans" w:cs="Open Sans"/>
                          <w:color w:val="C00000"/>
                          <w:sz w:val="44"/>
                          <w:szCs w:val="44"/>
                        </w:rPr>
                        <w:t>6</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595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1BB4BD2" w:rsidR="0058699E" w:rsidRPr="00D15A37" w:rsidRDefault="00C85F50">
      <w:pPr>
        <w:rPr>
          <w:rFonts w:ascii="Open Sans" w:hAnsi="Open Sans" w:cs="Open Sans"/>
          <w:b/>
          <w:bCs/>
          <w:sz w:val="32"/>
          <w:szCs w:val="32"/>
        </w:rPr>
      </w:pPr>
      <w:r>
        <w:rPr>
          <w:noProof/>
        </w:rPr>
        <w:drawing>
          <wp:anchor distT="0" distB="0" distL="114300" distR="114300" simplePos="0" relativeHeight="251668480" behindDoc="0" locked="0" layoutInCell="1" allowOverlap="1" wp14:anchorId="738F0943" wp14:editId="091D71E0">
            <wp:simplePos x="0" y="0"/>
            <wp:positionH relativeFrom="column">
              <wp:posOffset>657225</wp:posOffset>
            </wp:positionH>
            <wp:positionV relativeFrom="paragraph">
              <wp:posOffset>2530793</wp:posOffset>
            </wp:positionV>
            <wp:extent cx="4719954" cy="4719954"/>
            <wp:effectExtent l="0" t="0" r="5080" b="5080"/>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719954" cy="4719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6D9CD" w14:textId="19A17744"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0288"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37"/>
        <w:gridCol w:w="6474"/>
      </w:tblGrid>
      <w:tr w:rsidR="002B4B82" w:rsidRPr="002B4B82" w14:paraId="53011436" w14:textId="77777777" w:rsidTr="002B4B82">
        <w:trPr>
          <w:trHeight w:val="332"/>
        </w:trPr>
        <w:tc>
          <w:tcPr>
            <w:tcW w:w="3237" w:type="dxa"/>
            <w:shd w:val="clear" w:color="auto" w:fill="D9D9D9" w:themeFill="background1" w:themeFillShade="D9"/>
            <w:hideMark/>
          </w:tcPr>
          <w:p w14:paraId="1A0ABDA1"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General Description</w:t>
            </w:r>
          </w:p>
        </w:tc>
        <w:tc>
          <w:tcPr>
            <w:tcW w:w="6474" w:type="dxa"/>
            <w:shd w:val="clear" w:color="auto" w:fill="FFFFFF"/>
            <w:hideMark/>
          </w:tcPr>
          <w:p w14:paraId="2919849C" w14:textId="77777777"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Fast response, welded exposed junction</w:t>
            </w:r>
          </w:p>
        </w:tc>
      </w:tr>
      <w:tr w:rsidR="002B4B82" w:rsidRPr="002B4B82" w14:paraId="55E08523" w14:textId="77777777" w:rsidTr="002B4B82">
        <w:trPr>
          <w:trHeight w:val="357"/>
        </w:trPr>
        <w:tc>
          <w:tcPr>
            <w:tcW w:w="3237" w:type="dxa"/>
            <w:shd w:val="clear" w:color="auto" w:fill="D9D9D9" w:themeFill="background1" w:themeFillShade="D9"/>
            <w:hideMark/>
          </w:tcPr>
          <w:p w14:paraId="6B7136A7"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Sensor Type</w:t>
            </w:r>
          </w:p>
        </w:tc>
        <w:tc>
          <w:tcPr>
            <w:tcW w:w="6474" w:type="dxa"/>
            <w:shd w:val="clear" w:color="auto" w:fill="FFFFFF"/>
            <w:hideMark/>
          </w:tcPr>
          <w:p w14:paraId="714A991B" w14:textId="77777777"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Exposed Junction</w:t>
            </w:r>
          </w:p>
        </w:tc>
      </w:tr>
      <w:tr w:rsidR="002B4B82" w:rsidRPr="002B4B82" w14:paraId="7E35971E" w14:textId="77777777" w:rsidTr="002B4B82">
        <w:trPr>
          <w:trHeight w:val="332"/>
        </w:trPr>
        <w:tc>
          <w:tcPr>
            <w:tcW w:w="3237" w:type="dxa"/>
            <w:shd w:val="clear" w:color="auto" w:fill="D9D9D9" w:themeFill="background1" w:themeFillShade="D9"/>
            <w:hideMark/>
          </w:tcPr>
          <w:p w14:paraId="216071F3"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Thermocouple Type</w:t>
            </w:r>
          </w:p>
        </w:tc>
        <w:tc>
          <w:tcPr>
            <w:tcW w:w="6474" w:type="dxa"/>
            <w:shd w:val="clear" w:color="auto" w:fill="FFFFFF"/>
            <w:hideMark/>
          </w:tcPr>
          <w:p w14:paraId="0C002FC7" w14:textId="5D4E7FB9"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T</w:t>
            </w:r>
          </w:p>
        </w:tc>
      </w:tr>
      <w:tr w:rsidR="002B4B82" w:rsidRPr="002B4B82" w14:paraId="0A633AFE" w14:textId="77777777" w:rsidTr="002B4B82">
        <w:trPr>
          <w:trHeight w:val="332"/>
        </w:trPr>
        <w:tc>
          <w:tcPr>
            <w:tcW w:w="3237" w:type="dxa"/>
            <w:shd w:val="clear" w:color="auto" w:fill="D9D9D9" w:themeFill="background1" w:themeFillShade="D9"/>
            <w:hideMark/>
          </w:tcPr>
          <w:p w14:paraId="68F35215"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Cable Length</w:t>
            </w:r>
          </w:p>
        </w:tc>
        <w:tc>
          <w:tcPr>
            <w:tcW w:w="6474" w:type="dxa"/>
            <w:shd w:val="clear" w:color="auto" w:fill="FFFFFF"/>
            <w:hideMark/>
          </w:tcPr>
          <w:p w14:paraId="59A0D6F4" w14:textId="77667007" w:rsidR="002B4B82" w:rsidRPr="002B4B82" w:rsidRDefault="000C761F" w:rsidP="002B4B82">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2</w:t>
            </w:r>
            <w:r w:rsidR="002B4B82">
              <w:rPr>
                <w:rFonts w:ascii="Open Sans" w:eastAsia="Times New Roman" w:hAnsi="Open Sans" w:cs="Open Sans"/>
                <w:color w:val="333333"/>
                <w:sz w:val="24"/>
                <w:szCs w:val="24"/>
                <w:lang w:eastAsia="en-GB"/>
              </w:rPr>
              <w:t>m</w:t>
            </w:r>
          </w:p>
        </w:tc>
      </w:tr>
      <w:tr w:rsidR="002B4B82" w:rsidRPr="002B4B82" w14:paraId="51BF8016" w14:textId="77777777" w:rsidTr="002B4B82">
        <w:trPr>
          <w:trHeight w:val="357"/>
        </w:trPr>
        <w:tc>
          <w:tcPr>
            <w:tcW w:w="3237" w:type="dxa"/>
            <w:shd w:val="clear" w:color="auto" w:fill="D9D9D9" w:themeFill="background1" w:themeFillShade="D9"/>
            <w:hideMark/>
          </w:tcPr>
          <w:p w14:paraId="1BDAC86A"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Cable Type</w:t>
            </w:r>
          </w:p>
        </w:tc>
        <w:tc>
          <w:tcPr>
            <w:tcW w:w="6474" w:type="dxa"/>
            <w:shd w:val="clear" w:color="auto" w:fill="FFFFFF"/>
            <w:hideMark/>
          </w:tcPr>
          <w:p w14:paraId="33474F71" w14:textId="77777777"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Teflon® PTFE insulated twin-twisted lead</w:t>
            </w:r>
          </w:p>
        </w:tc>
      </w:tr>
      <w:tr w:rsidR="002B4B82" w:rsidRPr="002B4B82" w14:paraId="0D525269" w14:textId="77777777" w:rsidTr="002B4B82">
        <w:trPr>
          <w:trHeight w:val="332"/>
        </w:trPr>
        <w:tc>
          <w:tcPr>
            <w:tcW w:w="3237" w:type="dxa"/>
            <w:shd w:val="clear" w:color="auto" w:fill="D9D9D9" w:themeFill="background1" w:themeFillShade="D9"/>
            <w:hideMark/>
          </w:tcPr>
          <w:p w14:paraId="3AA1A442"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Core / Strands</w:t>
            </w:r>
          </w:p>
        </w:tc>
        <w:tc>
          <w:tcPr>
            <w:tcW w:w="6474" w:type="dxa"/>
            <w:shd w:val="clear" w:color="auto" w:fill="FFFFFF"/>
            <w:hideMark/>
          </w:tcPr>
          <w:p w14:paraId="662750C4" w14:textId="77777777"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1/0.2mm</w:t>
            </w:r>
          </w:p>
        </w:tc>
      </w:tr>
      <w:tr w:rsidR="002B4B82" w:rsidRPr="002B4B82" w14:paraId="362D6A29" w14:textId="77777777" w:rsidTr="002B4B82">
        <w:trPr>
          <w:trHeight w:val="332"/>
        </w:trPr>
        <w:tc>
          <w:tcPr>
            <w:tcW w:w="3237" w:type="dxa"/>
            <w:shd w:val="clear" w:color="auto" w:fill="D9D9D9" w:themeFill="background1" w:themeFillShade="D9"/>
            <w:hideMark/>
          </w:tcPr>
          <w:p w14:paraId="2A304C81"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Termination Type</w:t>
            </w:r>
          </w:p>
        </w:tc>
        <w:tc>
          <w:tcPr>
            <w:tcW w:w="6474" w:type="dxa"/>
            <w:shd w:val="clear" w:color="auto" w:fill="FFFFFF"/>
            <w:hideMark/>
          </w:tcPr>
          <w:p w14:paraId="19F3B9D9" w14:textId="77777777"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Miniature flat pin plug colour coded in accordance IEC 584 or bare tails</w:t>
            </w:r>
          </w:p>
        </w:tc>
      </w:tr>
      <w:tr w:rsidR="002B4B82" w:rsidRPr="002B4B82" w14:paraId="240DEDA1" w14:textId="77777777" w:rsidTr="002B4B82">
        <w:trPr>
          <w:trHeight w:val="332"/>
        </w:trPr>
        <w:tc>
          <w:tcPr>
            <w:tcW w:w="3237" w:type="dxa"/>
            <w:shd w:val="clear" w:color="auto" w:fill="D9D9D9" w:themeFill="background1" w:themeFillShade="D9"/>
            <w:hideMark/>
          </w:tcPr>
          <w:p w14:paraId="074E86CE"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Max. Temperature</w:t>
            </w:r>
          </w:p>
        </w:tc>
        <w:tc>
          <w:tcPr>
            <w:tcW w:w="6474" w:type="dxa"/>
            <w:shd w:val="clear" w:color="auto" w:fill="FFFFFF"/>
            <w:hideMark/>
          </w:tcPr>
          <w:p w14:paraId="6A96537E" w14:textId="77777777"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+260°C</w:t>
            </w:r>
          </w:p>
        </w:tc>
      </w:tr>
      <w:tr w:rsidR="002B4B82" w:rsidRPr="002B4B82" w14:paraId="6BB65E79" w14:textId="77777777" w:rsidTr="002B4B82">
        <w:trPr>
          <w:trHeight w:val="357"/>
        </w:trPr>
        <w:tc>
          <w:tcPr>
            <w:tcW w:w="3237" w:type="dxa"/>
            <w:shd w:val="clear" w:color="auto" w:fill="D9D9D9" w:themeFill="background1" w:themeFillShade="D9"/>
            <w:hideMark/>
          </w:tcPr>
          <w:p w14:paraId="4561FFB2"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Min. Temperature</w:t>
            </w:r>
          </w:p>
        </w:tc>
        <w:tc>
          <w:tcPr>
            <w:tcW w:w="6474" w:type="dxa"/>
            <w:shd w:val="clear" w:color="auto" w:fill="FFFFFF"/>
            <w:hideMark/>
          </w:tcPr>
          <w:p w14:paraId="5B9B3112" w14:textId="77777777"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-75°C</w:t>
            </w:r>
          </w:p>
        </w:tc>
      </w:tr>
      <w:tr w:rsidR="002B4B82" w:rsidRPr="002B4B82" w14:paraId="7DCED005" w14:textId="77777777" w:rsidTr="002B4B82">
        <w:trPr>
          <w:trHeight w:val="332"/>
        </w:trPr>
        <w:tc>
          <w:tcPr>
            <w:tcW w:w="3237" w:type="dxa"/>
            <w:shd w:val="clear" w:color="auto" w:fill="D9D9D9" w:themeFill="background1" w:themeFillShade="D9"/>
            <w:hideMark/>
          </w:tcPr>
          <w:p w14:paraId="4E53271E"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Tolerance</w:t>
            </w:r>
          </w:p>
        </w:tc>
        <w:tc>
          <w:tcPr>
            <w:tcW w:w="6474" w:type="dxa"/>
            <w:shd w:val="clear" w:color="auto" w:fill="FFFFFF"/>
            <w:hideMark/>
          </w:tcPr>
          <w:p w14:paraId="671077BF" w14:textId="77777777"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Class 1</w:t>
            </w:r>
          </w:p>
        </w:tc>
      </w:tr>
      <w:tr w:rsidR="002B4B82" w:rsidRPr="002B4B82" w14:paraId="536D2BD5" w14:textId="77777777" w:rsidTr="002B4B82">
        <w:trPr>
          <w:trHeight w:val="332"/>
        </w:trPr>
        <w:tc>
          <w:tcPr>
            <w:tcW w:w="3237" w:type="dxa"/>
            <w:shd w:val="clear" w:color="auto" w:fill="D9D9D9" w:themeFill="background1" w:themeFillShade="D9"/>
            <w:hideMark/>
          </w:tcPr>
          <w:p w14:paraId="020F56C4"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Standards Met</w:t>
            </w:r>
          </w:p>
        </w:tc>
        <w:tc>
          <w:tcPr>
            <w:tcW w:w="6474" w:type="dxa"/>
            <w:shd w:val="clear" w:color="auto" w:fill="FFFFFF"/>
            <w:hideMark/>
          </w:tcPr>
          <w:p w14:paraId="218055ED" w14:textId="77777777"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IEC-584-3</w:t>
            </w:r>
          </w:p>
        </w:tc>
      </w:tr>
      <w:tr w:rsidR="002B4B82" w:rsidRPr="002B4B82" w14:paraId="65B80F04" w14:textId="77777777" w:rsidTr="002B4B82">
        <w:trPr>
          <w:trHeight w:val="357"/>
        </w:trPr>
        <w:tc>
          <w:tcPr>
            <w:tcW w:w="3237" w:type="dxa"/>
            <w:shd w:val="clear" w:color="auto" w:fill="D9D9D9" w:themeFill="background1" w:themeFillShade="D9"/>
            <w:hideMark/>
          </w:tcPr>
          <w:p w14:paraId="1E3766D8"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Connector Type</w:t>
            </w:r>
          </w:p>
        </w:tc>
        <w:tc>
          <w:tcPr>
            <w:tcW w:w="6474" w:type="dxa"/>
            <w:shd w:val="clear" w:color="auto" w:fill="FFFFFF"/>
            <w:hideMark/>
          </w:tcPr>
          <w:p w14:paraId="4E71257D" w14:textId="77777777"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Plug</w:t>
            </w:r>
          </w:p>
        </w:tc>
      </w:tr>
      <w:tr w:rsidR="002B4B82" w:rsidRPr="002B4B82" w14:paraId="40480293" w14:textId="77777777" w:rsidTr="002B4B82">
        <w:trPr>
          <w:trHeight w:val="332"/>
        </w:trPr>
        <w:tc>
          <w:tcPr>
            <w:tcW w:w="3237" w:type="dxa"/>
            <w:shd w:val="clear" w:color="auto" w:fill="D9D9D9" w:themeFill="background1" w:themeFillShade="D9"/>
            <w:hideMark/>
          </w:tcPr>
          <w:p w14:paraId="6124E7CA"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Connector Size</w:t>
            </w:r>
          </w:p>
        </w:tc>
        <w:tc>
          <w:tcPr>
            <w:tcW w:w="6474" w:type="dxa"/>
            <w:shd w:val="clear" w:color="auto" w:fill="FFFFFF"/>
            <w:hideMark/>
          </w:tcPr>
          <w:p w14:paraId="5FDD1A54" w14:textId="77777777"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Miniature</w:t>
            </w:r>
          </w:p>
        </w:tc>
      </w:tr>
    </w:tbl>
    <w:p w14:paraId="381BA227" w14:textId="1C41EF9A" w:rsidR="00966343" w:rsidRDefault="00966343" w:rsidP="000846BE">
      <w:pPr>
        <w:jc w:val="center"/>
        <w:rPr>
          <w:rFonts w:ascii="Open Sans" w:hAnsi="Open Sans" w:cs="Open Sans"/>
          <w:b/>
          <w:bCs/>
          <w:sz w:val="44"/>
          <w:szCs w:val="44"/>
        </w:rPr>
      </w:pPr>
    </w:p>
    <w:p w14:paraId="5A1D5F52" w14:textId="2F2ED734" w:rsidR="00D74E52" w:rsidRDefault="00C52554" w:rsidP="00C52554">
      <w:pPr>
        <w:tabs>
          <w:tab w:val="left" w:pos="6728"/>
        </w:tabs>
        <w:rPr>
          <w:rFonts w:ascii="Open Sans" w:hAnsi="Open Sans" w:cs="Open Sans"/>
          <w:b/>
          <w:bCs/>
          <w:sz w:val="44"/>
          <w:szCs w:val="44"/>
        </w:rPr>
      </w:pPr>
      <w:r>
        <w:rPr>
          <w:rFonts w:ascii="Open Sans" w:hAnsi="Open Sans" w:cs="Open Sans"/>
          <w:b/>
          <w:bCs/>
          <w:sz w:val="44"/>
          <w:szCs w:val="44"/>
        </w:rPr>
        <w:tab/>
      </w: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bookmarkStart w:id="0" w:name="_Hlk172275063"/>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547CCC1F" w:rsidR="008B0DA4" w:rsidRPr="008B0DA4" w:rsidRDefault="00071799" w:rsidP="008B0DA4">
            <w:pPr>
              <w:jc w:val="center"/>
              <w:rPr>
                <w:b/>
                <w:bCs/>
              </w:rPr>
            </w:pPr>
            <w:r>
              <w:rPr>
                <w:b/>
                <w:bCs/>
              </w:rPr>
              <w:t>Core/Strands</w:t>
            </w:r>
          </w:p>
        </w:tc>
        <w:tc>
          <w:tcPr>
            <w:tcW w:w="1691" w:type="dxa"/>
            <w:shd w:val="clear" w:color="auto" w:fill="BFBFBF" w:themeFill="background1" w:themeFillShade="BF"/>
          </w:tcPr>
          <w:p w14:paraId="728A21B5" w14:textId="1C92A57A" w:rsidR="008B0DA4" w:rsidRPr="008B0DA4" w:rsidRDefault="00D74E52" w:rsidP="008B0DA4">
            <w:pPr>
              <w:jc w:val="center"/>
              <w:rPr>
                <w:b/>
                <w:bCs/>
              </w:rPr>
            </w:pPr>
            <w:r>
              <w:rPr>
                <w:b/>
                <w:bCs/>
              </w:rPr>
              <w:t>Length</w:t>
            </w:r>
          </w:p>
        </w:tc>
        <w:tc>
          <w:tcPr>
            <w:tcW w:w="1573" w:type="dxa"/>
            <w:shd w:val="clear" w:color="auto" w:fill="BFBFBF" w:themeFill="background1" w:themeFillShade="BF"/>
          </w:tcPr>
          <w:p w14:paraId="212DFEA2" w14:textId="49931EF1" w:rsidR="008B0DA4" w:rsidRPr="008B0DA4" w:rsidRDefault="00D74E52" w:rsidP="008B0DA4">
            <w:pPr>
              <w:jc w:val="center"/>
              <w:rPr>
                <w:b/>
                <w:bCs/>
              </w:rPr>
            </w:pPr>
            <w:r>
              <w:rPr>
                <w:b/>
                <w:bCs/>
              </w:rPr>
              <w:t>Termination</w:t>
            </w:r>
          </w:p>
        </w:tc>
        <w:tc>
          <w:tcPr>
            <w:tcW w:w="2122" w:type="dxa"/>
            <w:shd w:val="clear" w:color="auto" w:fill="BFBFBF" w:themeFill="background1" w:themeFillShade="BF"/>
          </w:tcPr>
          <w:p w14:paraId="383C07AD" w14:textId="2C784055" w:rsidR="008B0DA4" w:rsidRPr="008B0DA4" w:rsidRDefault="009F5583"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4FC0C12E" w:rsidR="008B0DA4" w:rsidRDefault="002B4B82" w:rsidP="008B0DA4">
            <w:pPr>
              <w:jc w:val="center"/>
            </w:pPr>
            <w:r>
              <w:t>T</w:t>
            </w:r>
          </w:p>
        </w:tc>
        <w:tc>
          <w:tcPr>
            <w:tcW w:w="1276" w:type="dxa"/>
          </w:tcPr>
          <w:p w14:paraId="0585A4D8" w14:textId="307C060E" w:rsidR="008B0DA4" w:rsidRDefault="00C85F50" w:rsidP="008B0DA4">
            <w:pPr>
              <w:jc w:val="center"/>
            </w:pPr>
            <w:r>
              <w:t>IEC</w:t>
            </w:r>
          </w:p>
        </w:tc>
        <w:tc>
          <w:tcPr>
            <w:tcW w:w="1559" w:type="dxa"/>
          </w:tcPr>
          <w:p w14:paraId="7311A8F0" w14:textId="0BE285FB" w:rsidR="008B0DA4" w:rsidRDefault="002B4B82" w:rsidP="008B0DA4">
            <w:pPr>
              <w:jc w:val="center"/>
            </w:pPr>
            <w:r>
              <w:t>1/0.2</w:t>
            </w:r>
            <w:r w:rsidR="005C7601">
              <w:t>mm</w:t>
            </w:r>
          </w:p>
        </w:tc>
        <w:tc>
          <w:tcPr>
            <w:tcW w:w="1691" w:type="dxa"/>
          </w:tcPr>
          <w:p w14:paraId="078B016B" w14:textId="7668CEDA" w:rsidR="008B0DA4" w:rsidRDefault="000C761F" w:rsidP="008B0DA4">
            <w:pPr>
              <w:jc w:val="center"/>
            </w:pPr>
            <w:r>
              <w:t>2</w:t>
            </w:r>
            <w:r w:rsidR="00063B93">
              <w:t>m</w:t>
            </w:r>
          </w:p>
        </w:tc>
        <w:tc>
          <w:tcPr>
            <w:tcW w:w="1573" w:type="dxa"/>
          </w:tcPr>
          <w:p w14:paraId="69A91DDE" w14:textId="76DB239D" w:rsidR="008B0DA4" w:rsidRDefault="002B4B82" w:rsidP="008B0DA4">
            <w:pPr>
              <w:jc w:val="center"/>
            </w:pPr>
            <w:r>
              <w:t>Miniature Plug</w:t>
            </w:r>
          </w:p>
        </w:tc>
        <w:tc>
          <w:tcPr>
            <w:tcW w:w="2122" w:type="dxa"/>
          </w:tcPr>
          <w:p w14:paraId="7AC20DA8" w14:textId="492ABDC5" w:rsidR="008B0DA4" w:rsidRDefault="00071799" w:rsidP="008B0DA4">
            <w:pPr>
              <w:jc w:val="center"/>
            </w:pPr>
            <w:r w:rsidRPr="00071799">
              <w:t>XE-</w:t>
            </w:r>
            <w:r w:rsidR="002B4B82">
              <w:t>352</w:t>
            </w:r>
            <w:r w:rsidR="000C761F">
              <w:t>6</w:t>
            </w:r>
            <w:r w:rsidRPr="00071799">
              <w:t>-001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4548587C"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C52554" w:rsidRPr="00C52554">
      <w:t xml:space="preserve"> </w:t>
    </w:r>
    <w:r w:rsidR="002B4B82" w:rsidRPr="002B4B82">
      <w:rPr>
        <w:noProof/>
      </w:rPr>
      <w:t>XE-352</w:t>
    </w:r>
    <w:r w:rsidR="000C761F">
      <w:rPr>
        <w:noProof/>
      </w:rPr>
      <w:t>6</w:t>
    </w:r>
    <w:r w:rsidR="002B4B82" w:rsidRPr="002B4B82">
      <w:rPr>
        <w:noProof/>
      </w:rPr>
      <w:t>-001</w:t>
    </w:r>
    <w:r w:rsidR="00CB5110">
      <w:tab/>
    </w:r>
    <w:r w:rsidR="00CB5110">
      <w:tab/>
    </w:r>
    <w:r w:rsidR="004220D9">
      <w:fldChar w:fldCharType="begin"/>
    </w:r>
    <w:r w:rsidR="004220D9">
      <w:instrText xml:space="preserve"> DATE  \@ "MMM-yy"  \* MERGEFORMAT </w:instrText>
    </w:r>
    <w:r w:rsidR="004220D9">
      <w:fldChar w:fldCharType="separate"/>
    </w:r>
    <w:r w:rsidR="00D74E52">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13187C"/>
    <w:rsid w:val="001D2647"/>
    <w:rsid w:val="00277F90"/>
    <w:rsid w:val="002B4B82"/>
    <w:rsid w:val="002C41CB"/>
    <w:rsid w:val="002E13CE"/>
    <w:rsid w:val="003135F8"/>
    <w:rsid w:val="00313A9E"/>
    <w:rsid w:val="003724A5"/>
    <w:rsid w:val="00372A1A"/>
    <w:rsid w:val="003D1288"/>
    <w:rsid w:val="00412199"/>
    <w:rsid w:val="004220D9"/>
    <w:rsid w:val="004E47F5"/>
    <w:rsid w:val="005303BD"/>
    <w:rsid w:val="005867C6"/>
    <w:rsid w:val="0058699E"/>
    <w:rsid w:val="005B16EB"/>
    <w:rsid w:val="005C7601"/>
    <w:rsid w:val="00617984"/>
    <w:rsid w:val="00684FEE"/>
    <w:rsid w:val="006A0AC2"/>
    <w:rsid w:val="0071720F"/>
    <w:rsid w:val="00761EF7"/>
    <w:rsid w:val="00772120"/>
    <w:rsid w:val="00783D26"/>
    <w:rsid w:val="00822A6A"/>
    <w:rsid w:val="00861717"/>
    <w:rsid w:val="00894B50"/>
    <w:rsid w:val="008B0DA4"/>
    <w:rsid w:val="008C6A22"/>
    <w:rsid w:val="008E33A5"/>
    <w:rsid w:val="008F4B7B"/>
    <w:rsid w:val="00966343"/>
    <w:rsid w:val="00997247"/>
    <w:rsid w:val="009F5583"/>
    <w:rsid w:val="00A01365"/>
    <w:rsid w:val="00A0145F"/>
    <w:rsid w:val="00A2446B"/>
    <w:rsid w:val="00A33BD4"/>
    <w:rsid w:val="00A568A3"/>
    <w:rsid w:val="00AA4068"/>
    <w:rsid w:val="00AE4BCA"/>
    <w:rsid w:val="00B013AF"/>
    <w:rsid w:val="00B20E63"/>
    <w:rsid w:val="00B21FB5"/>
    <w:rsid w:val="00B44DAF"/>
    <w:rsid w:val="00BD140E"/>
    <w:rsid w:val="00BE4FAA"/>
    <w:rsid w:val="00C36441"/>
    <w:rsid w:val="00C52554"/>
    <w:rsid w:val="00C61341"/>
    <w:rsid w:val="00C85F50"/>
    <w:rsid w:val="00CB5110"/>
    <w:rsid w:val="00CC3881"/>
    <w:rsid w:val="00CC62DC"/>
    <w:rsid w:val="00D15A37"/>
    <w:rsid w:val="00D175A2"/>
    <w:rsid w:val="00D547E5"/>
    <w:rsid w:val="00D74E52"/>
    <w:rsid w:val="00DD2296"/>
    <w:rsid w:val="00E17CBF"/>
    <w:rsid w:val="00E565EA"/>
    <w:rsid w:val="00F05952"/>
    <w:rsid w:val="00F7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2024-07-22T09:34:00Z</dcterms:created>
  <dcterms:modified xsi:type="dcterms:W3CDTF">2024-07-22T09:34:00Z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